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D8" w:rsidRPr="001723D8" w:rsidRDefault="001723D8" w:rsidP="00CF58FB">
      <w:pPr>
        <w:rPr>
          <w:sz w:val="44"/>
          <w:szCs w:val="44"/>
          <w:u w:val="single"/>
        </w:rPr>
      </w:pPr>
      <w:r w:rsidRPr="001723D8">
        <w:rPr>
          <w:sz w:val="44"/>
          <w:szCs w:val="44"/>
          <w:u w:val="single"/>
        </w:rPr>
        <w:t>Shodná zobrazení</w:t>
      </w:r>
    </w:p>
    <w:p w:rsidR="001723D8" w:rsidRDefault="001723D8" w:rsidP="00CF58FB">
      <w:r>
        <w:t>1)</w:t>
      </w:r>
      <w:r w:rsidRPr="001723D8">
        <w:t xml:space="preserve"> </w:t>
      </w:r>
      <w:r>
        <w:t>Kandelábr před Pražskou Loretou</w:t>
      </w:r>
    </w:p>
    <w:p w:rsidR="00691943" w:rsidRDefault="00384AA1" w:rsidP="00086F5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84AA1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pt;margin-top:177.7pt;width:169.65pt;height:21.25pt;z-index:251658240" stroked="f">
            <v:textbox>
              <w:txbxContent>
                <w:p w:rsidR="00DA59F6" w:rsidRPr="006F6048" w:rsidRDefault="006F60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Půdorysný nákres v</w:t>
                  </w:r>
                  <w:r w:rsidRPr="006F604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F6048">
                    <w:rPr>
                      <w:sz w:val="16"/>
                      <w:szCs w:val="16"/>
                    </w:rPr>
                    <w:t>SketchUp</w:t>
                  </w:r>
                  <w:proofErr w:type="spellEnd"/>
                </w:p>
              </w:txbxContent>
            </v:textbox>
          </v:shape>
        </w:pict>
      </w:r>
      <w:r w:rsidR="00CF58FB">
        <w:rPr>
          <w:noProof/>
          <w:lang w:eastAsia="cs-CZ"/>
        </w:rPr>
        <w:drawing>
          <wp:inline distT="0" distB="0" distL="0" distR="0">
            <wp:extent cx="2821195" cy="1590261"/>
            <wp:effectExtent l="19050" t="0" r="0" b="0"/>
            <wp:docPr id="1" name="obrázek 1" descr="C:\Users\Marek\Desktop\Osvětlení před Pražskou Lore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Osvětlení před Pražskou Loret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85" cy="159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3E3">
        <w:rPr>
          <w:noProof/>
          <w:lang w:eastAsia="cs-CZ"/>
        </w:rPr>
        <w:drawing>
          <wp:inline distT="0" distB="0" distL="0" distR="0">
            <wp:extent cx="2366341" cy="2151371"/>
            <wp:effectExtent l="19050" t="0" r="0" b="0"/>
            <wp:docPr id="14" name="obrázek 10" descr="C:\Users\Marek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ek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1" cy="21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F6" w:rsidRPr="00DA59F6" w:rsidRDefault="00DA59F6" w:rsidP="001723D8">
      <w:r>
        <w:t xml:space="preserve"> </w:t>
      </w:r>
    </w:p>
    <w:p w:rsidR="00F62417" w:rsidRPr="00AC7478" w:rsidRDefault="00F62417" w:rsidP="001723D8">
      <w:pPr>
        <w:rPr>
          <w:rFonts w:asciiTheme="majorHAnsi" w:hAnsiTheme="majorHAnsi"/>
          <w:color w:val="000000"/>
          <w:shd w:val="clear" w:color="auto" w:fill="FFFFFF"/>
        </w:rPr>
      </w:pPr>
      <w:r w:rsidRPr="00AC7478">
        <w:rPr>
          <w:rFonts w:asciiTheme="majorHAnsi" w:hAnsiTheme="majorHAnsi"/>
          <w:color w:val="000000"/>
          <w:shd w:val="clear" w:color="auto" w:fill="FFFFFF"/>
        </w:rPr>
        <w:t>Pražskou Loretánskou ulici opět po dlouhých letech osvětluje plynový kandelábr z 19. století. Původně byl odlit v Komárenských železárnách jako jeden ze 160 kusů plynového veřejného osvětlení</w:t>
      </w:r>
      <w:r w:rsidR="00870087" w:rsidRPr="00AC7478">
        <w:rPr>
          <w:rFonts w:asciiTheme="majorHAnsi" w:hAnsiTheme="majorHAnsi"/>
          <w:color w:val="000000"/>
          <w:shd w:val="clear" w:color="auto" w:fill="FFFFFF"/>
        </w:rPr>
        <w:t xml:space="preserve"> pro Prahu</w:t>
      </w:r>
      <w:r w:rsidRPr="00AC7478">
        <w:rPr>
          <w:rFonts w:asciiTheme="majorHAnsi" w:hAnsiTheme="majorHAnsi"/>
          <w:color w:val="000000"/>
          <w:shd w:val="clear" w:color="auto" w:fill="FFFFFF"/>
        </w:rPr>
        <w:t>. Od té doby se dochovalo jen několik kusů, které jsou rozmístěny v centru Prahy. Všechny kusy, které se dochovaly, byly v roce 1985 elektrifikovány a v tomto stavu fungoval</w:t>
      </w:r>
      <w:r w:rsidR="00870087" w:rsidRPr="00AC7478">
        <w:rPr>
          <w:rFonts w:asciiTheme="majorHAnsi" w:hAnsiTheme="majorHAnsi"/>
          <w:color w:val="000000"/>
          <w:shd w:val="clear" w:color="auto" w:fill="FFFFFF"/>
        </w:rPr>
        <w:t>y</w:t>
      </w:r>
      <w:r w:rsidRPr="00AC7478">
        <w:rPr>
          <w:rFonts w:asciiTheme="majorHAnsi" w:hAnsiTheme="majorHAnsi"/>
          <w:color w:val="000000"/>
          <w:shd w:val="clear" w:color="auto" w:fill="FFFFFF"/>
        </w:rPr>
        <w:t xml:space="preserve"> až do roku 2012, kdy se opět zavedl jejich plynový provoz spolu s funkcí osvětlovače.</w:t>
      </w:r>
    </w:p>
    <w:p w:rsidR="007D3A4B" w:rsidRPr="00AC7478" w:rsidRDefault="006F6048" w:rsidP="001723D8">
      <w:pPr>
        <w:rPr>
          <w:rFonts w:asciiTheme="majorHAnsi" w:hAnsiTheme="majorHAnsi"/>
        </w:rPr>
      </w:pPr>
      <w:r w:rsidRPr="00AC7478">
        <w:rPr>
          <w:rFonts w:asciiTheme="majorHAnsi" w:hAnsiTheme="majorHAnsi"/>
        </w:rPr>
        <w:t>Na tomto objektu se dá shodných zobrazení najít hned několik. V první řadě to je určitě středová souměrnost, kde při pohledu shora, střed tvoří sloup lampy, který je v </w:t>
      </w:r>
      <w:r w:rsidR="007D3A4B" w:rsidRPr="00AC7478">
        <w:rPr>
          <w:rFonts w:asciiTheme="majorHAnsi" w:hAnsiTheme="majorHAnsi"/>
        </w:rPr>
        <w:t>n</w:t>
      </w:r>
      <w:r w:rsidRPr="00AC7478">
        <w:rPr>
          <w:rFonts w:asciiTheme="majorHAnsi" w:hAnsiTheme="majorHAnsi"/>
        </w:rPr>
        <w:t xml:space="preserve">ákresu </w:t>
      </w:r>
      <w:r w:rsidR="007D3A4B" w:rsidRPr="00AC7478">
        <w:rPr>
          <w:rFonts w:asciiTheme="majorHAnsi" w:hAnsiTheme="majorHAnsi"/>
        </w:rPr>
        <w:t>tvořen průsečíky všech ramen kandelábru (Bod S). Dále by se zde dala nalézt osová souměrnost a to hned osmkrát. Čtyřikrát by osu souměrnosti tvořil</w:t>
      </w:r>
      <w:r w:rsidR="00F333E3" w:rsidRPr="00AC7478">
        <w:rPr>
          <w:rFonts w:asciiTheme="majorHAnsi" w:hAnsiTheme="majorHAnsi"/>
        </w:rPr>
        <w:t>a</w:t>
      </w:r>
      <w:r w:rsidR="007D3A4B" w:rsidRPr="00AC7478">
        <w:rPr>
          <w:rFonts w:asciiTheme="majorHAnsi" w:hAnsiTheme="majorHAnsi"/>
        </w:rPr>
        <w:t xml:space="preserve"> ramen</w:t>
      </w:r>
      <w:r w:rsidR="00F333E3" w:rsidRPr="00AC7478">
        <w:rPr>
          <w:rFonts w:asciiTheme="majorHAnsi" w:hAnsiTheme="majorHAnsi"/>
        </w:rPr>
        <w:t>a</w:t>
      </w:r>
      <w:r w:rsidR="007D3A4B" w:rsidRPr="00AC7478">
        <w:rPr>
          <w:rFonts w:asciiTheme="majorHAnsi" w:hAnsiTheme="majorHAnsi"/>
        </w:rPr>
        <w:t xml:space="preserve"> kandelábru a čtyřikrát by pomyslná osa souměrnosti </w:t>
      </w:r>
      <w:r w:rsidR="00522016" w:rsidRPr="00AC7478">
        <w:rPr>
          <w:rFonts w:asciiTheme="majorHAnsi" w:hAnsiTheme="majorHAnsi"/>
        </w:rPr>
        <w:t>vedla přesně mezi dvěma rameny kandelábru.</w:t>
      </w:r>
    </w:p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086F57" w:rsidRDefault="00086F57" w:rsidP="001723D8"/>
    <w:p w:rsidR="00DB1C46" w:rsidRDefault="00DB1C46" w:rsidP="001723D8">
      <w:r>
        <w:lastRenderedPageBreak/>
        <w:t>2) Devítiramenný svícen (</w:t>
      </w:r>
      <w:proofErr w:type="spellStart"/>
      <w:r w:rsidR="006C5BDB" w:rsidRPr="00AC7478">
        <w:rPr>
          <w:rFonts w:cstheme="minorHAnsi"/>
          <w:bCs/>
          <w:shd w:val="clear" w:color="auto" w:fill="FFFFFF"/>
        </w:rPr>
        <w:t>Chanukija</w:t>
      </w:r>
      <w:proofErr w:type="spellEnd"/>
      <w:r>
        <w:t>)</w:t>
      </w:r>
    </w:p>
    <w:p w:rsidR="00DB1C46" w:rsidRDefault="00DB1C46" w:rsidP="00086F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14913" cy="3220278"/>
            <wp:effectExtent l="19050" t="0" r="4437" b="0"/>
            <wp:docPr id="6" name="obrázek 6" descr="C:\Users\Marek\Desktop\Devítiramenný sví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ek\Desktop\Devítiramenný svíc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33" cy="322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234">
        <w:rPr>
          <w:noProof/>
          <w:lang w:eastAsia="cs-CZ"/>
        </w:rPr>
        <w:drawing>
          <wp:inline distT="0" distB="0" distL="0" distR="0">
            <wp:extent cx="3276795" cy="3220278"/>
            <wp:effectExtent l="19050" t="0" r="0" b="0"/>
            <wp:docPr id="16" name="obrázek 11" descr="C:\Users\Marek\Desktop\Svícen- nák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ek\Desktop\Svícen- nák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77" cy="322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34" w:rsidRDefault="00873234" w:rsidP="00AC7478">
      <w:pPr>
        <w:rPr>
          <w:rFonts w:cstheme="minorHAnsi"/>
          <w:shd w:val="clear" w:color="auto" w:fill="FFFFFF"/>
        </w:rPr>
      </w:pPr>
      <w:proofErr w:type="spellStart"/>
      <w:r w:rsidRPr="00AC7478">
        <w:rPr>
          <w:rFonts w:cstheme="minorHAnsi"/>
          <w:bCs/>
          <w:shd w:val="clear" w:color="auto" w:fill="FFFFFF"/>
        </w:rPr>
        <w:t>Chanukija</w:t>
      </w:r>
      <w:proofErr w:type="spellEnd"/>
      <w:r w:rsidRPr="00AC7478">
        <w:rPr>
          <w:rStyle w:val="apple-converted-space"/>
          <w:rFonts w:cstheme="minorHAnsi"/>
          <w:color w:val="000000"/>
          <w:shd w:val="clear" w:color="auto" w:fill="FFFFFF"/>
        </w:rPr>
        <w:t xml:space="preserve">  je devítiramenný svícen zapalovaný během židovského svátku Chanuka. Dříve byl tento židovský náboženský předmět nazýván </w:t>
      </w:r>
      <w:r w:rsidRPr="00AC7478">
        <w:rPr>
          <w:rFonts w:cstheme="minorHAnsi"/>
          <w:shd w:val="clear" w:color="auto" w:fill="FFFFFF"/>
        </w:rPr>
        <w:t>„</w:t>
      </w:r>
      <w:proofErr w:type="spellStart"/>
      <w:r w:rsidRPr="00AC7478">
        <w:rPr>
          <w:rFonts w:cstheme="minorHAnsi"/>
          <w:shd w:val="clear" w:color="auto" w:fill="FFFFFF"/>
        </w:rPr>
        <w:t>Menorat</w:t>
      </w:r>
      <w:proofErr w:type="spellEnd"/>
      <w:r w:rsidRPr="00AC7478">
        <w:rPr>
          <w:rFonts w:cstheme="minorHAnsi"/>
          <w:shd w:val="clear" w:color="auto" w:fill="FFFFFF"/>
        </w:rPr>
        <w:t xml:space="preserve"> Chanuka“ nebo pouze </w:t>
      </w:r>
      <w:proofErr w:type="spellStart"/>
      <w:r w:rsidRPr="00AC7478">
        <w:rPr>
          <w:rFonts w:cstheme="minorHAnsi"/>
          <w:shd w:val="clear" w:color="auto" w:fill="FFFFFF"/>
        </w:rPr>
        <w:t>menora</w:t>
      </w:r>
      <w:proofErr w:type="spellEnd"/>
      <w:r w:rsidRPr="00AC7478">
        <w:rPr>
          <w:rFonts w:cstheme="minorHAnsi"/>
          <w:shd w:val="clear" w:color="auto" w:fill="FFFFFF"/>
        </w:rPr>
        <w:t>.</w:t>
      </w:r>
      <w:r w:rsidR="00AC7478" w:rsidRPr="00AC7478">
        <w:rPr>
          <w:rFonts w:cstheme="minorHAnsi"/>
          <w:shd w:val="clear" w:color="auto" w:fill="FFFFFF"/>
        </w:rPr>
        <w:t xml:space="preserve"> Často bývá bohatě zdoben, ale není to podmínkou. Podmínkou je pouze, aby jeho 8 ramen bylo pravidelně uspořádáno ve stejné výšce.</w:t>
      </w:r>
    </w:p>
    <w:p w:rsidR="00A94273" w:rsidRPr="00937E54" w:rsidRDefault="007411A5" w:rsidP="00AC747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 tomto objektu je zcela patrná jeho osová souměrnost. Osu souměrnosti tvoří, stejně jako u předcházejícího objektu, nosná tyč (noha svícnu).</w:t>
      </w:r>
      <w:r w:rsidR="00937E54">
        <w:rPr>
          <w:rFonts w:cstheme="minorHAnsi"/>
          <w:shd w:val="clear" w:color="auto" w:fill="FFFFFF"/>
        </w:rPr>
        <w:t xml:space="preserve"> Například bod </w:t>
      </w:r>
      <w:r w:rsidR="00937E54" w:rsidRPr="00937E54">
        <w:rPr>
          <w:rFonts w:cstheme="minorHAnsi"/>
          <w:i/>
          <w:shd w:val="clear" w:color="auto" w:fill="FFFFFF"/>
        </w:rPr>
        <w:t>A</w:t>
      </w:r>
      <w:r w:rsidR="00937E54">
        <w:rPr>
          <w:rFonts w:cstheme="minorHAnsi"/>
          <w:shd w:val="clear" w:color="auto" w:fill="FFFFFF"/>
        </w:rPr>
        <w:t xml:space="preserve"> se přes </w:t>
      </w:r>
      <w:proofErr w:type="gramStart"/>
      <w:r w:rsidR="00937E54">
        <w:rPr>
          <w:rFonts w:cstheme="minorHAnsi"/>
          <w:shd w:val="clear" w:color="auto" w:fill="FFFFFF"/>
        </w:rPr>
        <w:t xml:space="preserve">osu </w:t>
      </w:r>
      <w:r w:rsidR="00937E54" w:rsidRPr="00FC3BA5">
        <w:rPr>
          <w:rFonts w:cstheme="minorHAnsi"/>
          <w:i/>
          <w:u w:val="single"/>
          <w:shd w:val="clear" w:color="auto" w:fill="FFFFFF"/>
        </w:rPr>
        <w:t>o</w:t>
      </w:r>
      <w:r w:rsidR="00937E54">
        <w:rPr>
          <w:rFonts w:cstheme="minorHAnsi"/>
          <w:i/>
          <w:shd w:val="clear" w:color="auto" w:fill="FFFFFF"/>
        </w:rPr>
        <w:t xml:space="preserve"> </w:t>
      </w:r>
      <w:r w:rsidR="00937E54">
        <w:rPr>
          <w:rFonts w:cstheme="minorHAnsi"/>
          <w:shd w:val="clear" w:color="auto" w:fill="FFFFFF"/>
        </w:rPr>
        <w:t>promítne</w:t>
      </w:r>
      <w:proofErr w:type="gramEnd"/>
      <w:r w:rsidR="00937E54">
        <w:rPr>
          <w:rFonts w:cstheme="minorHAnsi"/>
          <w:shd w:val="clear" w:color="auto" w:fill="FFFFFF"/>
        </w:rPr>
        <w:t xml:space="preserve"> do bodu </w:t>
      </w:r>
      <w:r w:rsidR="00937E54">
        <w:rPr>
          <w:rFonts w:cstheme="minorHAnsi"/>
          <w:i/>
          <w:shd w:val="clear" w:color="auto" w:fill="FFFFFF"/>
        </w:rPr>
        <w:t>A*</w:t>
      </w:r>
      <w:r w:rsidR="00937E54">
        <w:rPr>
          <w:rFonts w:cstheme="minorHAnsi"/>
          <w:shd w:val="clear" w:color="auto" w:fill="FFFFFF"/>
        </w:rPr>
        <w:t>.</w:t>
      </w:r>
    </w:p>
    <w:p w:rsidR="00F13153" w:rsidRDefault="00F13153" w:rsidP="00AC747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3) Stožáry vysokého napětí</w:t>
      </w:r>
    </w:p>
    <w:p w:rsidR="00F13153" w:rsidRDefault="0088548A" w:rsidP="00AC7478">
      <w:pPr>
        <w:rPr>
          <w:rFonts w:cstheme="minorHAnsi"/>
        </w:rPr>
      </w:pPr>
      <w:r>
        <w:rPr>
          <w:rFonts w:cstheme="minorHAnsi"/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35.6pt;margin-top:78.15pt;width:9.9pt;height:8.15pt;flip:x;z-index:251660288" adj="9599"/>
        </w:pict>
      </w:r>
      <w:r w:rsidRPr="0088548A">
        <w:rPr>
          <w:rFonts w:cstheme="minorHAnsi"/>
          <w:noProof/>
          <w:color w:val="FF0000"/>
          <w:lang w:eastAsia="cs-CZ"/>
        </w:rPr>
        <w:pict>
          <v:shape id="_x0000_s1028" type="#_x0000_t5" style="position:absolute;margin-left:323.6pt;margin-top:49.3pt;width:9.4pt;height:9.45pt;flip:x;z-index:251659264"/>
        </w:pict>
      </w:r>
      <w:r w:rsidR="00F13153">
        <w:rPr>
          <w:rFonts w:cstheme="minorHAnsi"/>
          <w:noProof/>
          <w:lang w:eastAsia="cs-CZ"/>
        </w:rPr>
        <w:drawing>
          <wp:inline distT="0" distB="0" distL="0" distR="0">
            <wp:extent cx="2751826" cy="1566406"/>
            <wp:effectExtent l="19050" t="0" r="0" b="0"/>
            <wp:docPr id="18" name="obrázek 13" descr="C:\Users\Marek\Desktop\stozary-vysokeho-napeti-distribuce-elektriny-9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ek\Desktop\stozary-vysokeho-napeti-distribuce-elektriny-90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89" cy="156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153">
        <w:rPr>
          <w:rFonts w:cstheme="minorHAnsi"/>
          <w:noProof/>
          <w:lang w:eastAsia="cs-CZ"/>
        </w:rPr>
        <w:drawing>
          <wp:inline distT="0" distB="0" distL="0" distR="0">
            <wp:extent cx="2751827" cy="1566407"/>
            <wp:effectExtent l="19050" t="0" r="0" b="0"/>
            <wp:docPr id="19" name="obrázek 14" descr="C:\Users\Marek\Desktop\stozary-vysokeho-napeti-distribuce-elektriny-9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ek\Desktop\stozary-vysokeho-napeti-distribuce-elektriny-905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1" cy="15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AD" w:rsidRDefault="00FD60D3" w:rsidP="00AC7478">
      <w:pPr>
        <w:rPr>
          <w:rFonts w:cstheme="minorHAnsi"/>
        </w:rPr>
      </w:pPr>
      <w:r>
        <w:rPr>
          <w:rFonts w:cstheme="minorHAnsi"/>
        </w:rPr>
        <w:t>Velmi vysoké napětí je označení pro elektrické napětí mezi vodičem a zemí a může dosahovat až 300kV. Hlavními důvody použití vysokého napětí k přenosu el. Energie je to, že zde dochází k daleko menším ztrátám, než při použití nižšího napětí a zároveň nejsou zapotřebí extrémně tlusté kabely.</w:t>
      </w:r>
    </w:p>
    <w:p w:rsidR="004160E3" w:rsidRDefault="00937E54" w:rsidP="00AC7478">
      <w:pPr>
        <w:rPr>
          <w:rFonts w:cstheme="minorHAnsi"/>
        </w:rPr>
      </w:pPr>
      <w:r>
        <w:rPr>
          <w:rFonts w:cstheme="minorHAnsi"/>
        </w:rPr>
        <w:t>Stožáry vysokého napětí jsou v drtivé většině případů osově souměrné, což js</w:t>
      </w:r>
      <w:r w:rsidR="008005B1">
        <w:rPr>
          <w:rFonts w:cstheme="minorHAnsi"/>
        </w:rPr>
        <w:t>em zde už ani nenaznačoval,</w:t>
      </w:r>
      <w:r>
        <w:rPr>
          <w:rFonts w:cstheme="minorHAnsi"/>
        </w:rPr>
        <w:t xml:space="preserve"> </w:t>
      </w:r>
      <w:r w:rsidR="008005B1">
        <w:rPr>
          <w:rFonts w:cstheme="minorHAnsi"/>
        </w:rPr>
        <w:t>osa by vedla</w:t>
      </w:r>
      <w:r w:rsidR="0088548A">
        <w:rPr>
          <w:rFonts w:cstheme="minorHAnsi"/>
        </w:rPr>
        <w:t xml:space="preserve"> vertikálně</w:t>
      </w:r>
      <w:r w:rsidR="008005B1">
        <w:rPr>
          <w:rFonts w:cstheme="minorHAnsi"/>
        </w:rPr>
        <w:t xml:space="preserve"> středem nosného pilíře. </w:t>
      </w:r>
      <w:r w:rsidR="002D3A89">
        <w:rPr>
          <w:rFonts w:cstheme="minorHAnsi"/>
        </w:rPr>
        <w:t>Dalším, zatím nezmíněným, shodným zobrazením je posunutí, které je naznačeno červenými čarami.</w:t>
      </w:r>
      <w:r w:rsidR="009F0452">
        <w:rPr>
          <w:rFonts w:cstheme="minorHAnsi"/>
        </w:rPr>
        <w:t xml:space="preserve"> Posunutí vlastně znamená, že stejný objekt je přesunut na jiné místo, aniž by se v jeho konstrukci cokoliv měnilo.</w:t>
      </w:r>
    </w:p>
    <w:p w:rsidR="001F089A" w:rsidRDefault="001F089A" w:rsidP="00AC7478">
      <w:pPr>
        <w:rPr>
          <w:rFonts w:cstheme="minorHAnsi"/>
        </w:rPr>
      </w:pPr>
      <w:r>
        <w:rPr>
          <w:rFonts w:cstheme="minorHAnsi"/>
        </w:rPr>
        <w:lastRenderedPageBreak/>
        <w:t xml:space="preserve">4) </w:t>
      </w:r>
      <w:r w:rsidR="002555D9">
        <w:rPr>
          <w:rFonts w:cstheme="minorHAnsi"/>
        </w:rPr>
        <w:t>Rotace tužky</w:t>
      </w:r>
    </w:p>
    <w:p w:rsidR="002555D9" w:rsidRDefault="002555D9" w:rsidP="00AC7478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2775006" cy="2081000"/>
            <wp:effectExtent l="19050" t="0" r="6294" b="0"/>
            <wp:docPr id="20" name="obrázek 15" descr="C:\Users\Marek\Desktop\Rota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ek\Desktop\Rotace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98" cy="208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>
            <wp:extent cx="2806811" cy="2104850"/>
            <wp:effectExtent l="19050" t="0" r="0" b="0"/>
            <wp:docPr id="22" name="obrázek 16" descr="C:\Users\Marek\Desktop\rota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ek\Desktop\rotac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27" cy="211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BB" w:rsidRPr="0088548A" w:rsidRDefault="00C67CBB" w:rsidP="00AC7478">
      <w:pPr>
        <w:rPr>
          <w:rFonts w:cstheme="minorHAnsi"/>
        </w:rPr>
      </w:pPr>
      <w:r>
        <w:rPr>
          <w:rFonts w:cstheme="minorHAnsi"/>
        </w:rPr>
        <w:t>Abych se zbytečně neopakoval, zvolil jsem jako poslední shodné zobrazení ro</w:t>
      </w:r>
      <w:r w:rsidR="0088548A">
        <w:rPr>
          <w:rFonts w:cstheme="minorHAnsi"/>
        </w:rPr>
        <w:t>taci tužky podle určitého bodu (S). Tužka byla otočena o +90</w:t>
      </w:r>
      <w:r w:rsidR="0088548A" w:rsidRPr="0088548A">
        <w:rPr>
          <w:rFonts w:cstheme="minorHAnsi"/>
          <w:vertAlign w:val="superscript"/>
        </w:rPr>
        <w:t>o</w:t>
      </w:r>
      <w:r w:rsidR="0088548A">
        <w:rPr>
          <w:rFonts w:cstheme="minorHAnsi"/>
        </w:rPr>
        <w:t>.</w:t>
      </w:r>
      <w:r w:rsidR="00D57D87">
        <w:rPr>
          <w:rFonts w:cstheme="minorHAnsi"/>
        </w:rPr>
        <w:t xml:space="preserve"> Úhly alfa a beta tedy jsou pravoúhlé.</w:t>
      </w:r>
    </w:p>
    <w:p w:rsidR="0088548A" w:rsidRDefault="0088548A" w:rsidP="00AC7478">
      <w:pPr>
        <w:rPr>
          <w:rFonts w:cstheme="minorHAnsi"/>
        </w:rPr>
      </w:pPr>
    </w:p>
    <w:p w:rsidR="0088548A" w:rsidRPr="00AC7478" w:rsidRDefault="0088548A" w:rsidP="0088548A">
      <w:pPr>
        <w:jc w:val="right"/>
        <w:rPr>
          <w:rFonts w:cstheme="minorHAnsi"/>
        </w:rPr>
      </w:pPr>
      <w:r>
        <w:rPr>
          <w:rFonts w:cstheme="minorHAnsi"/>
        </w:rPr>
        <w:t xml:space="preserve">Marek </w:t>
      </w:r>
      <w:proofErr w:type="spellStart"/>
      <w:proofErr w:type="gramStart"/>
      <w:r>
        <w:rPr>
          <w:rFonts w:cstheme="minorHAnsi"/>
        </w:rPr>
        <w:t>Petreje</w:t>
      </w:r>
      <w:proofErr w:type="spellEnd"/>
      <w:r>
        <w:rPr>
          <w:rFonts w:cstheme="minorHAnsi"/>
        </w:rPr>
        <w:t xml:space="preserve"> 4.B</w:t>
      </w:r>
      <w:proofErr w:type="gramEnd"/>
    </w:p>
    <w:sectPr w:rsidR="0088548A" w:rsidRPr="00AC7478" w:rsidSect="0069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58FB"/>
    <w:rsid w:val="000535FA"/>
    <w:rsid w:val="00086F57"/>
    <w:rsid w:val="001723D8"/>
    <w:rsid w:val="001F089A"/>
    <w:rsid w:val="00242D39"/>
    <w:rsid w:val="002555D9"/>
    <w:rsid w:val="00272AD2"/>
    <w:rsid w:val="00291894"/>
    <w:rsid w:val="002D3A89"/>
    <w:rsid w:val="0031099E"/>
    <w:rsid w:val="00384AA1"/>
    <w:rsid w:val="004160E3"/>
    <w:rsid w:val="00522016"/>
    <w:rsid w:val="006009CC"/>
    <w:rsid w:val="006534AD"/>
    <w:rsid w:val="00691943"/>
    <w:rsid w:val="006C5BDB"/>
    <w:rsid w:val="006F6048"/>
    <w:rsid w:val="007411A5"/>
    <w:rsid w:val="007D3A4B"/>
    <w:rsid w:val="008005B1"/>
    <w:rsid w:val="00870087"/>
    <w:rsid w:val="00873234"/>
    <w:rsid w:val="0088548A"/>
    <w:rsid w:val="00937E54"/>
    <w:rsid w:val="009429B7"/>
    <w:rsid w:val="009F0452"/>
    <w:rsid w:val="00A94273"/>
    <w:rsid w:val="00AC7478"/>
    <w:rsid w:val="00C40C10"/>
    <w:rsid w:val="00C67CBB"/>
    <w:rsid w:val="00CF58FB"/>
    <w:rsid w:val="00D57D87"/>
    <w:rsid w:val="00DA59F6"/>
    <w:rsid w:val="00DB1C46"/>
    <w:rsid w:val="00E07524"/>
    <w:rsid w:val="00EC00A3"/>
    <w:rsid w:val="00F13153"/>
    <w:rsid w:val="00F333E3"/>
    <w:rsid w:val="00F62417"/>
    <w:rsid w:val="00FC3BA5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8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723D8"/>
  </w:style>
  <w:style w:type="character" w:styleId="Hypertextovodkaz">
    <w:name w:val="Hyperlink"/>
    <w:basedOn w:val="Standardnpsmoodstavce"/>
    <w:uiPriority w:val="99"/>
    <w:semiHidden/>
    <w:unhideWhenUsed/>
    <w:rsid w:val="00873234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873234"/>
  </w:style>
  <w:style w:type="paragraph" w:styleId="Normlnweb">
    <w:name w:val="Normal (Web)"/>
    <w:basedOn w:val="Normln"/>
    <w:uiPriority w:val="99"/>
    <w:semiHidden/>
    <w:unhideWhenUsed/>
    <w:rsid w:val="0065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32</cp:revision>
  <dcterms:created xsi:type="dcterms:W3CDTF">2012-10-28T13:46:00Z</dcterms:created>
  <dcterms:modified xsi:type="dcterms:W3CDTF">2012-10-30T17:57:00Z</dcterms:modified>
</cp:coreProperties>
</file>